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75550" cy="6557229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63000" y="727251"/>
                          <a:ext cx="7566000" cy="65475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44"/>
                                <w:vertAlign w:val="baseline"/>
                              </w:rPr>
                              <w:t xml:space="preserve">PREPARAR A SUA CARREIRA PARA O FUTURO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4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DEFINIÇÃO DE PREPARAÇÃO DA CARREIRA PARA O FUTURO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Preparar a carreira para o futuro significa assumir o controlo do seu futuro profissional e garantir que possui as competências e a experiência necessárias para assegurar o seu emprego e a sua carreira nos próximos anos.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IMPORTÂNCIA DA PREPARAÇÃO DA CARREIRA PARA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 FUTURO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Vivemos numa época de mudanças difíceis. Não sabemos o que o futuro nos reserva em termos de emprego e de carreira. Nos próximos anos, as nossas competências e experiência podem "ficar para trás" e podemos ter dificuldade em procurar outro emprego. A preparação para o futuro da carreira é essencial para garantir que não chegamos a um "beco sem saída" profissional.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  <w:t xml:space="preserve">ESTRATÉGIAS PARA UMA PREPARAÇÂO PARA O FUTURO BEM SUCEDIDA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Algumas das estratégias para ter sucesso no futuro da sua carreira, garantindo que as suas competências e experiência profissional não ficarão "atrasadas", são as seguintes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Aderir a uma organização "académica", que promove o desenvolvimento profissional contínuo e a aprendizagem ao longo da vida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Manter-se a par da tecnologia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Desenvolver as suas aptidões, competências e experiência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Ser um trabalhador "global"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Manter um "diário de sucesso" com todas as suas realizações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Desenvolver uma rede profissional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Acompanhar as tendências da profissão, do sector e da economia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Rever as suas opções de progressão na carreira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Construir a sua resiliência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400050</wp:posOffset>
                </wp:positionV>
                <wp:extent cx="7575550" cy="6557229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5550" cy="6557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Preparar o seu emprego para o futuro </w:t>
      </w:r>
    </w:p>
    <w:p w:rsidR="00000000" w:rsidDel="00000000" w:rsidP="00000000" w:rsidRDefault="00000000" w:rsidRPr="00000000" w14:paraId="0000001B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sz w:val="32"/>
          <w:szCs w:val="32"/>
          <w:rtl w:val="0"/>
        </w:rPr>
        <w:t xml:space="preserve">significa estar sempre a pensar dois ou três passos à frente".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Fonts w:ascii="Arial" w:cs="Arial" w:eastAsia="Arial" w:hAnsi="Arial"/>
          <w:i w:val="1"/>
          <w:color w:val="002060"/>
          <w:sz w:val="32"/>
          <w:szCs w:val="32"/>
          <w:rtl w:val="0"/>
        </w:rPr>
        <w:t xml:space="preserve">Stock Steinberg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434318</wp:posOffset>
                </wp:positionV>
                <wp:extent cx="7636510" cy="28098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2379825"/>
                          <a:ext cx="7626985" cy="28003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292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292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  <w:t xml:space="preserve">                                                                                                              https://encrypted-tbn0.gstatic.com/images?q=tbn:ANd9GcQoMaLGj5whhGmAgYnVTeJU40cBnx0InBwMzQ6Jd-rAtw&amp;s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0" w:right="2922.999877929687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12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434318</wp:posOffset>
                </wp:positionV>
                <wp:extent cx="7636510" cy="2809875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280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3119"/>
          <w:tab w:val="left" w:leader="none" w:pos="8789"/>
        </w:tabs>
        <w:spacing w:after="1382" w:line="216" w:lineRule="auto"/>
        <w:ind w:left="60" w:right="35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right="143" w:hanging="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-11" w:right="143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right="143" w:hanging="11"/>
        <w:jc w:val="center"/>
        <w:rPr/>
      </w:pPr>
      <w:r w:rsidDel="00000000" w:rsidR="00000000" w:rsidRPr="00000000">
        <w:rPr>
          <w:rtl w:val="0"/>
        </w:rPr>
        <w:t xml:space="preserve">PARA MAIS INFORMAÇÕES</w:t>
      </w:r>
    </w:p>
    <w:p w:rsidR="00000000" w:rsidDel="00000000" w:rsidP="00000000" w:rsidRDefault="00000000" w:rsidRPr="00000000" w14:paraId="00000026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89928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32508" y="2835120"/>
                          <a:ext cx="7626985" cy="188976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  <w:t xml:space="preserve">Para mais informações sobre como preparar a sua carreira para o futuro, pode visitar as seguintes ligações: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https://engageforsuccess.org/personal-development/8-ways-to-future-proof-your-career/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https://www.antoinetteoglethorpe.com/future-proofing-your-career/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https://www.robertwalters.co.uk/career-advice/keeping-your-career-on-track/future-proof-your-employability.html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https://www.fastcompany.com/90754762/how-to-future-proof-your-job-by-thinking-like-a-futurist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https://janebenston.com/future-proof-your-career/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3"/>
                                <w:u w:val="single"/>
                                <w:vertAlign w:val="baseline"/>
                              </w:rPr>
                              <w:t xml:space="preserve">https://blog.adobe.com/en/publish/2021/08/31/six-skills-worth-mastering-future-proof-your-career-retain-your-value-job-market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3402.0001220703125" w:right="-54.000000953674316" w:firstLine="3392.000122070312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3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899285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1899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16" w:lineRule="auto"/>
        <w:ind w:right="-62"/>
        <w:rPr>
          <w:rFonts w:ascii="Montserrat Light" w:cs="Montserrat Light" w:eastAsia="Montserrat Light" w:hAnsi="Montserrat Light"/>
          <w:b w:val="1"/>
          <w:color w:val="1b3c6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142" w:right="-62" w:firstLine="0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2373165" cy="464820"/>
            <wp:effectExtent b="0" l="0" r="0" t="0"/>
            <wp:wrapNone/>
            <wp:docPr descr="https://eacea.ec.europa.eu/sites/eacea-site/files/logosbeneficaireserasmusright_withthesupportof.jpg" id="29" name="image1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3165" cy="464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2021-1-SE01-KA220-VET-000032922 </w:t>
      </w:r>
    </w:p>
    <w:sectPr>
      <w:pgSz w:h="30000" w:w="12000" w:orient="portrait"/>
      <w:pgMar w:bottom="142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Light-regular.ttf"/><Relationship Id="rId2" Type="http://schemas.openxmlformats.org/officeDocument/2006/relationships/font" Target="fonts/MontserratLight-bold.ttf"/><Relationship Id="rId3" Type="http://schemas.openxmlformats.org/officeDocument/2006/relationships/font" Target="fonts/MontserratLight-italic.ttf"/><Relationship Id="rId4" Type="http://schemas.openxmlformats.org/officeDocument/2006/relationships/font" Target="fonts/MontserratLigh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WpUiK7bkslpj1RHNieSn2jE1g==">CgMxLjA4AHIhMXctc1E3TVB4ZW9idmRadk5MUS02U1B6TWRPT0NXV09y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82724c9ca5eeb55799f4519030e6be15c69d23f7b4c058105851fb429bb9782c</vt:lpwstr>
  </property>
</Properties>
</file>