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72375" cy="7553349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14500" y="-1198625"/>
                          <a:ext cx="7566000" cy="88146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t xml:space="preserve">TORNAR-SE MAIS ADAPTÁVEL ÀS MUDANÇAS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t xml:space="preserve">EM FUNÇÕES DE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SOBRE O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Quando trabalhamos à distância, fazemos o nosso trabalho num local fora do local de trabalho oficial do nosso empregador. Esses ambientes podem ser outros escritórios, uma cafetaria, a nossa casa, etc.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VANTAGENS DO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Ser mais flexível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Ganhar liberdade sobre o ambiente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Aumentar os níveis de produtividade e desempenho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Evitar a política do escritório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Estar longe da gripe sazonal, mantendo-se saudável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Evitar o trânsito e as multidões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Poupar dinheiro, minimizar os custos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Passar mais tempo com a família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DESAFIOS DO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Falta de contacto social e de apoio dos outros, levando ao isolamento e até à depressão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Frustrações com membros da família que também podem trabalhar/estar em casa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Problemas/desafios músculo-esqueléticos decorrentes de uma má configuração do posto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Desequilíbrio entre trabalho e vida.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ABRAÇAR A MUDANÇA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Uma das chaves do trabalho remoto é aceitar a mudança. As mudanças são um desafio, mesmo que, na maioria das vezes, sejam bem-vindas, e a adaptação às mudanças é um processo. Pelo que sabemos, os nossos hábitos podem determinar a forma como percepcionamos e reagimos à mudança. Por exemplo, se temos o hábito de pensar negativamente sobre novas situações ou novas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pessoas, então reagiremos de forma negativa à mudança. Curiosamente, os especialistas dizem que são necessários apenas 21 dias para nos adaptarmos a novas mudanças e adquirirmos novos hábitos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pelo que, em 21 dias, podemos habituar-nos à(s) mudança(s).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32"/>
                                <w:vertAlign w:val="baseline"/>
                              </w:rPr>
                              <w:t xml:space="preserve">ADAPTAR-SE À MUDANÇA COM ÊXITO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Reconhecer que a mudança está a acontecer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Identificar os aspectos positivos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Preparar, se possível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Concentre-se no que pode controlar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Acalmar e relaxar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38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28"/>
                                <w:vertAlign w:val="baseline"/>
                              </w:rPr>
                              <w:t xml:space="preserve">COMO TER SUCESSO A TRABALHAR A PARTIR DE CASA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Criar um espaço de trabalho definido para se concentrar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Separar o trabalho da vida para evitar o esgotamento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Trabalhar em rede e estar com outras pessoas para evitar a solidão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Respeite a sua rotina, mas também experimente coisas novas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780" w:right="0" w:firstLine="4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Aceitar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72375" cy="7553349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755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right"/>
        <w:rPr>
          <w:rFonts w:ascii="Arial" w:cs="Arial" w:eastAsia="Arial" w:hAnsi="Arial"/>
          <w:b w:val="1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0" w:firstLine="0"/>
        <w:jc w:val="left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32"/>
          <w:szCs w:val="32"/>
          <w:rtl w:val="0"/>
        </w:rPr>
        <w:t xml:space="preserve">"Não é o mais forte ou o mais inteligente que sobreviverá</w:t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b w:val="1"/>
          <w:i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32"/>
          <w:szCs w:val="32"/>
          <w:rtl w:val="0"/>
        </w:rPr>
        <w:t xml:space="preserve">mas sim aqueles que conseguem gerir melhor a mudança"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32"/>
          <w:szCs w:val="32"/>
          <w:rtl w:val="0"/>
        </w:rPr>
        <w:t xml:space="preserve">Charles Darwin</w:t>
      </w:r>
    </w:p>
    <w:p w:rsidR="00000000" w:rsidDel="00000000" w:rsidP="00000000" w:rsidRDefault="00000000" w:rsidRPr="00000000" w14:paraId="00000023">
      <w:pPr>
        <w:tabs>
          <w:tab w:val="left" w:leader="none" w:pos="3119"/>
          <w:tab w:val="left" w:leader="none" w:pos="878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119"/>
          <w:tab w:val="left" w:leader="none" w:pos="878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72415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7241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5405FA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3F297D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48025" cy="2285026"/>
                                  <wp:effectExtent b="1270" l="0" r="0" t="0"/>
                                  <wp:docPr descr="Embrace change Stock Photos, Royalty Free Embrace change Images |  Depositphotos" id="3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Embrace change Stock Photos, Royalty Free Embrace change Images |  Depositphotos"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3094" cy="2302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Del="00000000" w:rsidP="00AB06B4" w:rsidRDefault="00264303" w:rsidRPr="00442E8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724150"/>
                <wp:effectExtent b="0" l="0" r="0" t="0"/>
                <wp:wrapNone/>
                <wp:docPr id="2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72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119"/>
          <w:tab w:val="left" w:leader="none" w:pos="8789"/>
        </w:tabs>
        <w:spacing w:after="1382" w:line="216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right="143" w:hanging="11"/>
        <w:jc w:val="center"/>
        <w:rPr/>
      </w:pPr>
      <w:r w:rsidDel="00000000" w:rsidR="00000000" w:rsidRPr="00000000">
        <w:rPr>
          <w:rtl w:val="0"/>
        </w:rPr>
        <w:t xml:space="preserve">PARA MAIS INFORMAÇÕES</w:t>
      </w:r>
    </w:p>
    <w:p w:rsidR="00000000" w:rsidDel="00000000" w:rsidP="00000000" w:rsidRDefault="00000000" w:rsidRPr="00000000" w14:paraId="0000002A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636510" cy="15144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3027525"/>
                          <a:ext cx="7626985" cy="15049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Para mais informações sobre como se tornar mais adaptável às mudanças nos contextos de trabalho à distância, pode visitar as seguintes ligações: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https://www.forbes.com/sites/forbesbusinesscouncil/2020/04/14/how-to-adapt-to-remote-work/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https://www.indeed.com/career-advice/career-development/adapting-to-change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https://whatfix.com/blog/adapt-to-change/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https://www.lifehack.org/372463/why-you-need-adapt-change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https://culturallyours.com/2018/12/12/5-ways-to-adapt-to-change-in-your-life/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3402.0001220703125" w:right="-54.000000953674316" w:firstLine="3392.000122070312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636510" cy="1514475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151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16" w:lineRule="auto"/>
        <w:ind w:right="-62"/>
        <w:rPr>
          <w:rFonts w:ascii="Montserrat Light" w:cs="Montserrat Light" w:eastAsia="Montserrat Light" w:hAnsi="Montserrat Light"/>
          <w:b w:val="1"/>
          <w:color w:val="1b3c6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12700</wp:posOffset>
            </wp:positionV>
            <wp:extent cx="1892293" cy="370634"/>
            <wp:effectExtent b="0" l="0" r="0" t="0"/>
            <wp:wrapNone/>
            <wp:docPr descr="https://eacea.ec.europa.eu/sites/eacea-site/files/logosbeneficaireserasmusright_withthesupportof.jpg" id="29" name="image3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293" cy="3706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  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2.jpg"/><Relationship Id="rId12" Type="http://schemas.openxmlformats.org/officeDocument/2006/relationships/image" Target="media/image3.jpg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5d2g2y7EgXvC6WTfHFea+v+QA==">CgMxLjA4AHIhMVI2Z2VXeFBvbDFfMWp4YlhfSGtYZmdxaHpKaV9PSmtI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fab8b980fc4d08e4de97e27acdc5350f3ddc06863927f2dd74db8337a6e2400f</vt:lpwstr>
  </property>
</Properties>
</file>