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725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MERKBLATT "DEN WANDEL BEGREI</w:t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</w:t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72525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7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266700</wp:posOffset>
                </wp:positionV>
                <wp:extent cx="7628890" cy="407098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6318" y="174927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  <w:t xml:space="preserve">VIRTUELLE KOMMUNIKATION VERSTEHEN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ÜBUNGEN ZUR SELBSTREFLEXION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Heutzutage nutzen wir virtuelle Kommunikation in fast allen Lebensbereichen - in der Familie, im Freundeskreis, im Büro, um nur einige zu nennen. Daher ist es wichtig, sich der virtuellen Kommunikation bewusst zu sein und sie zu verstehen.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Selbstreflexion über das Wissen und was wir in Bezug auf die virtuelle Kommunikation verbessern müssen.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266700</wp:posOffset>
                </wp:positionV>
                <wp:extent cx="7628890" cy="4070985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8890" cy="4070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720" w:firstLine="0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720" w:firstLine="0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Selbstreflexion ist sehr wichtig, um zu wissen, ob wir die virtuelle Kommunikation verstehen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Geben Sie an, welche Aussage richtig und welche falsch ist</w:t>
      </w:r>
    </w:p>
    <w:tbl>
      <w:tblPr>
        <w:tblStyle w:val="Table1"/>
        <w:tblW w:w="10773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gridCol w:w="709"/>
        <w:gridCol w:w="708"/>
        <w:tblGridChange w:id="0">
          <w:tblGrid>
            <w:gridCol w:w="9356"/>
            <w:gridCol w:w="709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Erklärung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Sie brauchen keine Kenntnisse über Kommunikation, um virtuelle Kommunikation zu verstehen.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Eine offene, ehrliche Kommunikation hilft nicht nur, Missverständnisse zu vermeiden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Bombardieren Sie Ihr Team mit Nachrichten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Virtuelle Kommunikation hat einen großen Einfluss auf die Produktivität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Schlechte Kommunikation zwischen entfernten Teams erhöht die Wahrscheinlichkeit, dass etwas schief geht.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Finden Sie die Aussage, die nicht auf eine gute Praxis hindeutet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zur effektiven Kommunikation.</w:t>
      </w:r>
    </w:p>
    <w:tbl>
      <w:tblPr>
        <w:tblStyle w:val="Table2"/>
        <w:tblW w:w="1099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Holen Sie sich Unterstützung mit Werkzeugen.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Gute Kommunikationsaktivitäten finden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Ein freundliches Arbeitsumfeld, in dem Ihr Team zusammenarbeitet, ist notwendig.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Ablenkungen zu Hause.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Klare Kommunikation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Finden Sie heraus, was die virtuelle Kommunikation nicht unterstützt.</w:t>
      </w:r>
    </w:p>
    <w:tbl>
      <w:tblPr>
        <w:tblStyle w:val="Table3"/>
        <w:tblW w:w="11057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Teambildung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Unterstützung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Gute Werkzeuge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Schlechte Internetverbindungen und Videoverbindungen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Gestik, Mimik und Körpersprache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jc w:val="center"/>
        <w:rPr>
          <w:rFonts w:ascii="Arial" w:cs="Arial" w:eastAsia="Arial" w:hAnsi="Arial"/>
          <w:i w:val="1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7030a0"/>
          <w:sz w:val="28"/>
          <w:szCs w:val="28"/>
          <w:rtl w:val="0"/>
        </w:rPr>
        <w:t xml:space="preserve">"In einer Welt, die sich ständig verändert, ist es von Vorteil, wenn wir lernen, uns anzupassen und zu genießen.</w:t>
      </w:r>
    </w:p>
    <w:p w:rsidR="00000000" w:rsidDel="00000000" w:rsidP="00000000" w:rsidRDefault="00000000" w:rsidRPr="00000000" w14:paraId="00000034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color w:val="7030a0"/>
          <w:sz w:val="28"/>
          <w:szCs w:val="28"/>
          <w:rtl w:val="0"/>
        </w:rPr>
        <w:t xml:space="preserve">etwas Besseres."- Kenneth H. Blanchard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Del="00000000" w:rsidP="00AB06B4" w:rsidRDefault="00264303" w:rsidRPr="005405FA" w14:paraId="7A074F06" w14:textId="28D1A43D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AC0E34" w:rsidRPr="00AC0E34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754120" cy="2112010"/>
                                  <wp:effectExtent b="2540" l="0" r="0" t="0"/>
                                  <wp:docPr id="2" name="Bildobjekt 2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412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303" w:rsidDel="00000000" w:rsidP="00AB06B4" w:rsidRDefault="00264303" w:rsidRPr="00442E80" w14:paraId="1F967911" w14:textId="78EAD9A0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end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effectExtent b="0" l="0" r="0" t="0"/>
                <wp:wrapNone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3119"/>
          <w:tab w:val="left" w:leader="none" w:pos="8789"/>
        </w:tabs>
        <w:spacing w:after="0" w:line="240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Weitere Informationen erhalten Sie auf unserer Website: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https://retain-me.eu/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und unser Facebook: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2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062" w:hanging="360"/>
      </w:pPr>
      <w:rPr/>
    </w:lvl>
    <w:lvl w:ilvl="1">
      <w:start w:val="1"/>
      <w:numFmt w:val="lowerLetter"/>
      <w:lvlText w:val="%2."/>
      <w:lvlJc w:val="left"/>
      <w:pPr>
        <w:ind w:left="2782" w:hanging="360"/>
      </w:pPr>
      <w:rPr/>
    </w:lvl>
    <w:lvl w:ilvl="2">
      <w:start w:val="1"/>
      <w:numFmt w:val="lowerRoman"/>
      <w:lvlText w:val="%3."/>
      <w:lvlJc w:val="right"/>
      <w:pPr>
        <w:ind w:left="3502" w:hanging="180"/>
      </w:pPr>
      <w:rPr/>
    </w:lvl>
    <w:lvl w:ilvl="3">
      <w:start w:val="1"/>
      <w:numFmt w:val="decimal"/>
      <w:lvlText w:val="%4."/>
      <w:lvlJc w:val="left"/>
      <w:pPr>
        <w:ind w:left="4222" w:hanging="360"/>
      </w:pPr>
      <w:rPr/>
    </w:lvl>
    <w:lvl w:ilvl="4">
      <w:start w:val="1"/>
      <w:numFmt w:val="lowerLetter"/>
      <w:lvlText w:val="%5."/>
      <w:lvlJc w:val="left"/>
      <w:pPr>
        <w:ind w:left="4942" w:hanging="360"/>
      </w:pPr>
      <w:rPr/>
    </w:lvl>
    <w:lvl w:ilvl="5">
      <w:start w:val="1"/>
      <w:numFmt w:val="lowerRoman"/>
      <w:lvlText w:val="%6."/>
      <w:lvlJc w:val="right"/>
      <w:pPr>
        <w:ind w:left="5662" w:hanging="180"/>
      </w:pPr>
      <w:rPr/>
    </w:lvl>
    <w:lvl w:ilvl="6">
      <w:start w:val="1"/>
      <w:numFmt w:val="decimal"/>
      <w:lvlText w:val="%7."/>
      <w:lvlJc w:val="left"/>
      <w:pPr>
        <w:ind w:left="6382" w:hanging="360"/>
      </w:pPr>
      <w:rPr/>
    </w:lvl>
    <w:lvl w:ilvl="7">
      <w:start w:val="1"/>
      <w:numFmt w:val="lowerLetter"/>
      <w:lvlText w:val="%8."/>
      <w:lvlJc w:val="left"/>
      <w:pPr>
        <w:ind w:left="7102" w:hanging="360"/>
      </w:pPr>
      <w:rPr/>
    </w:lvl>
    <w:lvl w:ilvl="8">
      <w:start w:val="1"/>
      <w:numFmt w:val="lowerRoman"/>
      <w:lvlText w:val="%9."/>
      <w:lvlJc w:val="right"/>
      <w:pPr>
        <w:ind w:left="782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Rubrik1">
    <w:name w:val="heading 1"/>
    <w:next w:val="Normal"/>
    <w:link w:val="Rubrik1Cha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2Char" w:customStyle="1">
    <w:name w:val="Rubrik 2 Char"/>
    <w:link w:val="Rubrik2"/>
    <w:rPr>
      <w:rFonts w:ascii="Calibri" w:cs="Calibri" w:eastAsia="Calibri" w:hAnsi="Calibri"/>
      <w:color w:val="1b3c65"/>
      <w:sz w:val="51"/>
    </w:rPr>
  </w:style>
  <w:style w:type="character" w:styleId="Rubrik1Char" w:customStyle="1">
    <w:name w:val="Rubrik 1 Char"/>
    <w:link w:val="Rubrik1"/>
    <w:rPr>
      <w:rFonts w:ascii="Calibri" w:cs="Calibri" w:eastAsia="Calibri" w:hAnsi="Calibri"/>
      <w:color w:val="1b3c65"/>
      <w:sz w:val="69"/>
    </w:rPr>
  </w:style>
  <w:style w:type="character" w:styleId="Rubrik3Char" w:customStyle="1">
    <w:name w:val="Rubrik 3 Char"/>
    <w:basedOn w:val="Standardstycketeckensnitt"/>
    <w:link w:val="Rubrik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Liststycke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yperlnk">
    <w:name w:val="Hyperlink"/>
    <w:basedOn w:val="Standardstycketeckensnitt"/>
    <w:uiPriority w:val="99"/>
    <w:unhideWhenUsed w:val="1"/>
    <w:rsid w:val="00F858D6"/>
    <w:rPr>
      <w:color w:val="0563c1" w:themeColor="hyperlink"/>
      <w:u w:val="single"/>
    </w:rPr>
  </w:style>
  <w:style w:type="character" w:styleId="Olstomnmnande1" w:customStyle="1">
    <w:name w:val="Olöst omnämnande1"/>
    <w:basedOn w:val="Standardstycketeckensnitt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 w:val="1"/>
    <w:rsid w:val="003F297D"/>
    <w:rPr>
      <w:i w:val="1"/>
      <w:iCs w:val="1"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mmentarsreferens">
    <w:name w:val="annotation reference"/>
    <w:basedOn w:val="Standardstycketeckensnitt"/>
    <w:uiPriority w:val="99"/>
    <w:semiHidden w:val="1"/>
    <w:unhideWhenUsed w:val="1"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 w:val="1"/>
    <w:unhideWhenUsed w:val="1"/>
    <w:rsid w:val="00773A4B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773A4B"/>
    <w:rPr>
      <w:rFonts w:ascii="Calibri" w:cs="Calibri" w:eastAsia="Calibri" w:hAnsi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unhideWhenUsed w:val="1"/>
    <w:rsid w:val="00773A4B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773A4B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773A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773A4B"/>
    <w:rPr>
      <w:rFonts w:ascii="Segoe UI" w:cs="Segoe UI" w:eastAsia="Calibri" w:hAnsi="Segoe UI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3D62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tain-me.eu/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2.jpg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J5rSDLwrsn09T3VEJ5lsvpuZEw==">AMUW2mWtiya3jqq1e+ZqXfqbHzfI3ozM59Kt+p/LtQjNQ9vuSs47fqRdcGpAw4jp8feWvRBgMlREw/hYGjH3+XgyHHBn7PZ4EgcCqdciKQwCxw8Puodmqvw=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2020-09-23T14:57:00.0000000Z</dcterms:created>
  <dc:creator>s</dc:creator>
</cp:coreProperties>
</file>