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902153"/>
                <wp:effectExtent b="0" l="0" r="0" t="0"/>
                <wp:wrapNone/>
                <wp:docPr id="28" name=""/>
                <a:graphic>
                  <a:graphicData uri="http://schemas.microsoft.com/office/word/2010/wordprocessingShape">
                    <wps:wsp>
                      <wps:cNvSpPr/>
                      <wps:cNvPr id="4" name="Shape 4"/>
                      <wps:spPr>
                        <a:xfrm>
                          <a:off x="1532200" y="2450303"/>
                          <a:ext cx="7627500" cy="18891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902153"/>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37144" cy="1902153"/>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2375" cy="7553349"/>
                <wp:effectExtent b="0" l="0" r="0" t="0"/>
                <wp:wrapNone/>
                <wp:docPr id="27" name=""/>
                <a:graphic>
                  <a:graphicData uri="http://schemas.microsoft.com/office/word/2010/wordprocessingShape">
                    <wps:wsp>
                      <wps:cNvSpPr/>
                      <wps:cNvPr id="3" name="Shape 3"/>
                      <wps:spPr>
                        <a:xfrm>
                          <a:off x="1563000" y="0"/>
                          <a:ext cx="7566000" cy="123204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center"/>
                              <w:textDirection w:val="btLr"/>
                            </w:pPr>
                            <w:r w:rsidDel="00000000" w:rsidR="00000000" w:rsidRPr="00000000">
                              <w:rPr>
                                <w:rFonts w:ascii="Arial" w:cs="Arial" w:eastAsia="Arial" w:hAnsi="Arial"/>
                                <w:b w:val="1"/>
                                <w:i w:val="0"/>
                                <w:smallCaps w:val="0"/>
                                <w:strike w:val="0"/>
                                <w:color w:val="1b3c65"/>
                                <w:sz w:val="36"/>
                                <w:vertAlign w:val="baseline"/>
                              </w:rPr>
                              <w:t xml:space="preserve">DIE FÄHIGKEIT, IN EINEM TEAM AUF DISTANZ ZU ARBEITEN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2060"/>
                                <w:sz w:val="24"/>
                                <w:vertAlign w:val="baseline"/>
                              </w:rPr>
                              <w:t xml:space="preserve">Fernarbeit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0"/>
                                <w:vertAlign w:val="baseline"/>
                              </w:rPr>
                              <w:t xml:space="preserve">Die Arbeit von zu Hause aus ist, auch wenn Sie das vielleicht nicht so sehen, auf ihre Art und Weise eine Fähigkeit - Sie müssen das perfekte Gleichgewicht finden, um das Beste aus sich und Ihrem Team herauszuholen. Das bedeutet, dass Sie nicht zwei Minuten vor neun Uhr aus dem Bett springen und auch nicht den ganzen Tag im Schlafanzug herumlaufen sollten. Wenn Sie Ihre Ansprüche selbst in diesen Bereichen herunterschrauben, kann sich das auf Ihre gesamte Arbeitseinstellung auswirken, und selbst wenn Ihr Umfeld anders ist, sollten Sie Ihre Einstellung beibehalten, dass es darum geht, den Mann niederzumachen.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r w:rsidDel="00000000" w:rsidR="00000000" w:rsidRPr="00000000">
                              <w:rPr>
                                <w:rFonts w:ascii="Arial" w:cs="Arial" w:eastAsia="Arial" w:hAnsi="Arial"/>
                                <w:b w:val="0"/>
                                <w:i w:val="0"/>
                                <w:smallCaps w:val="0"/>
                                <w:strike w:val="0"/>
                                <w:color w:val="002060"/>
                                <w:sz w:val="20"/>
                                <w:vertAlign w:val="baseline"/>
                              </w:rPr>
                              <w:t xml:space="preserve">Fernarbeit ist heute eine einzigartige Leistung. Man arbeitet überall, nur nicht im Büro - zu Hause, im Park, auf dem Dach des Hauses. Das heißt, Sie können sich in einem Café oder in einem gemeinsam genutzten Arbeitsbereich einrichten, oder vielleicht sind Sie auch nur in einem anderen Büro Ihres Unternehmens, aber immer noch weit entfernt von Ihrem Kernteam. Fernarbeit bedeutet im Wesentlichen, dass Sie Ihrem Team nicht persönlich gegenübersitzen. Sie müssen dies jedoch nicht als etwas Negatives sehen. Es ist durchaus möglich, ein voll funktionsfähiges, kollaboratives Team zu sein, ohne dass die physische Anwesenheit des anderen erforderlich ist.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r w:rsidDel="00000000" w:rsidR="00000000" w:rsidRPr="00000000">
                              <w:rPr>
                                <w:rFonts w:ascii="Arial" w:cs="Arial" w:eastAsia="Arial" w:hAnsi="Arial"/>
                                <w:b w:val="0"/>
                                <w:i w:val="0"/>
                                <w:smallCaps w:val="0"/>
                                <w:strike w:val="0"/>
                                <w:color w:val="002060"/>
                                <w:sz w:val="20"/>
                                <w:vertAlign w:val="baseline"/>
                              </w:rPr>
                              <w:t xml:space="preserve">Menschen, die in Remote-Teams arbeiten, stehen immer wieder vor Kommunikationsproblemen. Da immer mehr unserer Interaktionen digital ablaufen, werden wir auch weiterhin neue Formen der Fehlkommunikation und Missverständnisse erleben. Die Lösung liegt im Aufbau von Fähigkeiten, die den Anforderungen unseres digital geprägten Zeitalters entsprechen. Wenn Sie beispielsweise digital kommunizieren, sollten Sie nicht davon ausgehen, dass andere Ihre Hinweise und Ihre Kurzschrift verstehen. Nehmen Sie sich die Zeit, mit der Absicht zu kommunizieren, möglichst klar zu sein. Bombardieren Sie Ihr Team nicht mit Nachrichten - das ist ineffektiv und nervig. Überlegen Sie, ob Sie für die digitale Kommunikation Team-Akronyme wie "Four Hour Response (4HR)" und "No Need to Respond (NNTR)" einführen, die Vorhersehbarkeit und Sicherheit in virtuelle Unterhaltungen bringen. Und denken Sie daran, Raum für Feiern und geselliges Beisammensein mit Remote-Teams zu schaffen, was die Beziehungen stärken und den Grundstein für eine zukünftige Zusammenarbeit legen kann.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r w:rsidDel="00000000" w:rsidR="00000000" w:rsidRPr="00000000">
                              <w:rPr>
                                <w:rFonts w:ascii="Arial" w:cs="Arial" w:eastAsia="Arial" w:hAnsi="Arial"/>
                                <w:b w:val="1"/>
                                <w:i w:val="0"/>
                                <w:smallCaps w:val="0"/>
                                <w:strike w:val="0"/>
                                <w:color w:val="002060"/>
                                <w:sz w:val="24"/>
                                <w:vertAlign w:val="baseline"/>
                              </w:rPr>
                              <w:t xml:space="preserve">Fähigkeit, in einem Team auf Distanz zu arbeiten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0"/>
                                <w:vertAlign w:val="baseline"/>
                              </w:rPr>
                              <w:t xml:space="preserve">Fernarbeitskompetenzen beziehen sich auf eine Reihe von sowohl materiellen als auch immateriellen Fähigkeiten, die für eine maximale Produktivität in Fernarbeitsmodellen unerlässlich sind. Zu den wichtigen Fähigkeiten, die für die Fernarbeit erforderlich sind, gehören Selbstständigkeit, Verantwortungsbewusstsein, Disziplin und organisierte Problemlösungsfähigkeit. Pünktlichkeit, Anpassungsfähigkeit, effektive Kommunikation und ein gutes Zeitmanagement sind ebenfalls unerlässlich für Fernarbeit.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r w:rsidDel="00000000" w:rsidR="00000000" w:rsidRPr="00000000">
                              <w:rPr>
                                <w:rFonts w:ascii="Arial" w:cs="Arial" w:eastAsia="Arial" w:hAnsi="Arial"/>
                                <w:b w:val="1"/>
                                <w:i w:val="0"/>
                                <w:smallCaps w:val="0"/>
                                <w:strike w:val="0"/>
                                <w:color w:val="002060"/>
                                <w:sz w:val="24"/>
                                <w:vertAlign w:val="baseline"/>
                              </w:rPr>
                              <w:t xml:space="preserve">Fernarbeit ist die Zukunft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0"/>
                                <w:vertAlign w:val="baseline"/>
                              </w:rPr>
                              <w:t xml:space="preserve">Die Arbeit wird sich in der Welt nach der Pandemie stark verändern. Auch wenn die Arbeitnehmer nicht ausschließlich von zu Hause aus arbeiten, werden sie doch immer mehr Zeit außerhalb des Büros verbringen. Folglich werden die Unternehmen nach Mitarbeitern suchen, die professionell, effektiv und produktiv von zu Hause aus arbeiten können. Daher müssen die Mitarbeiter die sich verändernde digitale Kultur verstehen und Fähigkeiten entwickeln, die ihnen helfen, ein erfolgreicher Telearbeiter zu werden.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2375" cy="7553349"/>
                <wp:effectExtent b="0" l="0" r="0" t="0"/>
                <wp:wrapNone/>
                <wp:docPr id="2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572375" cy="7553349"/>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pStyle w:val="Heading1"/>
        <w:tabs>
          <w:tab w:val="left" w:leader="none" w:pos="3119"/>
          <w:tab w:val="left" w:leader="none" w:pos="8789"/>
        </w:tabs>
        <w:spacing w:line="240" w:lineRule="auto"/>
        <w:ind w:left="0" w:firstLine="0"/>
        <w:jc w:val="left"/>
        <w:rPr>
          <w:rFonts w:ascii="Arial" w:cs="Arial" w:eastAsia="Arial" w:hAnsi="Arial"/>
          <w:b w:val="1"/>
          <w:i w:val="1"/>
          <w:color w:val="002060"/>
          <w:sz w:val="32"/>
          <w:szCs w:val="32"/>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Fonts w:ascii="Arial" w:cs="Arial" w:eastAsia="Arial" w:hAnsi="Arial"/>
          <w:i w:val="1"/>
          <w:color w:val="002060"/>
          <w:sz w:val="32"/>
          <w:szCs w:val="32"/>
          <w:rtl w:val="0"/>
        </w:rPr>
        <w:t xml:space="preserve">"Zusammenkommen ist ein Anfang, zusammenbleiben ist ein Fortschritt; </w:t>
      </w:r>
    </w:p>
    <w:p w:rsidR="00000000" w:rsidDel="00000000" w:rsidP="00000000" w:rsidRDefault="00000000" w:rsidRPr="00000000" w14:paraId="0000001A">
      <w:pPr>
        <w:pStyle w:val="Heading1"/>
        <w:tabs>
          <w:tab w:val="left" w:leader="none" w:pos="3119"/>
          <w:tab w:val="left" w:leader="none" w:pos="8789"/>
        </w:tabs>
        <w:spacing w:line="240" w:lineRule="auto"/>
        <w:ind w:left="58" w:firstLine="0"/>
        <w:jc w:val="center"/>
        <w:rPr>
          <w:rFonts w:ascii="Arial" w:cs="Arial" w:eastAsia="Arial" w:hAnsi="Arial"/>
          <w:b w:val="1"/>
          <w:i w:val="1"/>
          <w:color w:val="002060"/>
          <w:sz w:val="32"/>
          <w:szCs w:val="32"/>
        </w:rPr>
      </w:pPr>
      <w:r w:rsidDel="00000000" w:rsidR="00000000" w:rsidRPr="00000000">
        <w:rPr>
          <w:rFonts w:ascii="Arial" w:cs="Arial" w:eastAsia="Arial" w:hAnsi="Arial"/>
          <w:i w:val="1"/>
          <w:color w:val="002060"/>
          <w:sz w:val="32"/>
          <w:szCs w:val="32"/>
          <w:rtl w:val="0"/>
        </w:rPr>
        <w:t xml:space="preserve">Gemeinsam ist man erfolgreich."</w:t>
      </w:r>
      <w:r w:rsidDel="00000000" w:rsidR="00000000" w:rsidRPr="00000000">
        <w:rPr>
          <w:rtl w:val="0"/>
        </w:rPr>
      </w:r>
    </w:p>
    <w:p w:rsidR="00000000" w:rsidDel="00000000" w:rsidP="00000000" w:rsidRDefault="00000000" w:rsidRPr="00000000" w14:paraId="0000001B">
      <w:pPr>
        <w:pStyle w:val="Heading1"/>
        <w:tabs>
          <w:tab w:val="left" w:leader="none" w:pos="3119"/>
          <w:tab w:val="left" w:leader="none" w:pos="8789"/>
        </w:tabs>
        <w:spacing w:line="240" w:lineRule="auto"/>
        <w:ind w:left="58" w:firstLine="0"/>
        <w:jc w:val="center"/>
        <w:rPr>
          <w:rFonts w:ascii="Arial" w:cs="Arial" w:eastAsia="Arial" w:hAnsi="Arial"/>
          <w:sz w:val="32"/>
          <w:szCs w:val="32"/>
        </w:rPr>
      </w:pPr>
      <w:r w:rsidDel="00000000" w:rsidR="00000000" w:rsidRPr="00000000">
        <w:rPr>
          <w:rFonts w:ascii="Arial" w:cs="Arial" w:eastAsia="Arial" w:hAnsi="Arial"/>
          <w:i w:val="1"/>
          <w:color w:val="002060"/>
          <w:sz w:val="32"/>
          <w:szCs w:val="32"/>
          <w:rtl w:val="0"/>
        </w:rPr>
        <w:t xml:space="preserve">Henry Ford</w:t>
      </w:r>
      <w:r w:rsidDel="00000000" w:rsidR="00000000" w:rsidRPr="00000000">
        <w:rPr>
          <w:rtl w:val="0"/>
        </w:rPr>
      </w:r>
    </w:p>
    <w:p w:rsidR="00000000" w:rsidDel="00000000" w:rsidP="00000000" w:rsidRDefault="00000000" w:rsidRPr="00000000" w14:paraId="0000001C">
      <w:pPr>
        <w:pStyle w:val="Heading1"/>
        <w:tabs>
          <w:tab w:val="left" w:leader="none" w:pos="3119"/>
          <w:tab w:val="left" w:leader="none" w:pos="8789"/>
        </w:tabs>
        <w:spacing w:after="90" w:lineRule="auto"/>
        <w:ind w:firstLine="60"/>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86995</wp:posOffset>
                </wp:positionV>
                <wp:extent cx="7626985" cy="2800350"/>
                <wp:wrapNone/>
                <wp:docPr id="25" name=""/>
                <a:graphic>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264303" w:rsidRPr="005405FA" w14:paraId="7A074F06" w14:textId="284AA66C">
                            <w:pPr>
                              <w:pStyle w:val="Rubrik1"/>
                              <w:tabs>
                                <w:tab w:val="left" w:pos="3119"/>
                                <w:tab w:val="left" w:pos="8789"/>
                              </w:tabs>
                              <w:jc w:val="center"/>
                            </w:pPr>
                            <w:r w:rsidDel="00000000" w:rsidR="00000000" w:rsidRPr="00B63B5B">
                              <w:rPr>
                                <w:rFonts w:ascii="Montserrat ExtraBold" w:hAnsi="Montserrat ExtraBold"/>
                                <w:sz w:val="24"/>
                              </w:rPr>
                              <w:br/>
                            </w:r>
                            <w:r w:rsidDel="00000000" w:rsidR="00661DC2" w:rsidRPr="00000000">
                              <w:rPr>
                                <w:noProof w:val="1"/>
                              </w:rPr>
                              <w:drawing>
                                <wp:inline distB="0" distT="0" distL="0" distR="0">
                                  <wp:extent cx="3383280" cy="2392508"/>
                                  <wp:effectExtent b="8255" l="0" r="7620" t="0"/>
                                  <wp:docPr descr="En bild som visar text&#10;&#10;Automatiskt genererad beskrivning" id="2" name="Bildobjekt 2"/>
                                  <wp:cNvGraphicFramePr>
                                    <a:graphicFrameLocks noChangeAspect="1"/>
                                  </wp:cNvGraphicFramePr>
                                  <a:graphic>
                                    <a:graphicData uri="http://schemas.openxmlformats.org/drawingml/2006/picture">
                                      <pic:pic>
                                        <pic:nvPicPr>
                                          <pic:cNvPr descr="En bild som visar text&#10;&#10;Automatiskt genererad beskrivning" id="2" name="Bildobjekt 2"/>
                                          <pic:cNvPicPr/>
                                        </pic:nvPicPr>
                                        <pic:blipFill>
                                          <a:blip r:embed="rId1">
                                            <a:extLst>
                                              <a:ext uri="{28A0092B-C50C-407E-A947-70E740481C1C}"/>
                                            </a:extLst>
                                          </a:blip>
                                          <a:stretch>
                                            <a:fillRect/>
                                          </a:stretch>
                                        </pic:blipFill>
                                        <pic:spPr>
                                          <a:xfrm>
                                            <a:off x="0" y="0"/>
                                            <a:ext cx="3388355" cy="2396097"/>
                                          </a:xfrm>
                                          <a:prstGeom prst="rect">
                                            <a:avLst/>
                                          </a:prstGeom>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86995</wp:posOffset>
                </wp:positionV>
                <wp:extent cx="7626985" cy="2800350"/>
                <wp:effectExtent b="0" l="0" r="0" t="0"/>
                <wp:wrapNone/>
                <wp:docPr id="2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7626985" cy="2800350"/>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F">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20">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21">
      <w:pPr>
        <w:pStyle w:val="Heading2"/>
        <w:tabs>
          <w:tab w:val="left" w:leader="none" w:pos="3119"/>
          <w:tab w:val="left" w:leader="none" w:pos="8789"/>
        </w:tabs>
        <w:spacing w:line="240" w:lineRule="auto"/>
        <w:ind w:right="143" w:hanging="11"/>
        <w:jc w:val="center"/>
        <w:rPr/>
      </w:pPr>
      <w:r w:rsidDel="00000000" w:rsidR="00000000" w:rsidRPr="00000000">
        <w:rPr>
          <w:rtl w:val="0"/>
        </w:rPr>
        <w:t xml:space="preserve">FÜR WEITERE INFORMATIONEN</w:t>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2453574"/>
                <wp:effectExtent b="0" l="0" r="0" t="0"/>
                <wp:wrapNone/>
                <wp:docPr id="26" name=""/>
                <a:graphic>
                  <a:graphicData uri="http://schemas.microsoft.com/office/word/2010/wordprocessingShape">
                    <wps:wsp>
                      <wps:cNvSpPr/>
                      <wps:cNvPr id="2" name="Shape 2"/>
                      <wps:spPr>
                        <a:xfrm>
                          <a:off x="1532500" y="3037050"/>
                          <a:ext cx="7626900" cy="22980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über die Möglichkeit, in einem Team aus der Ferne zu arbeiten, finden Sie unter den folgenden Links: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Fernarbeit: Ihr Leitfaden für den Aufbau und die Pflege starker virtueller Teams</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https://kissflow.com/digital-workplace/remote-work/essential-skills-for-remote-work/</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7 Schlüsselkompetenzen für Fernarbeit, die Sie im Jahr 2021 brauchen, um erfolgreich zu sein</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https://monday.com/blog/remote-work/remote-work-virtual-teams/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27 Best Practices für die Verwaltung von Remote-Teams im Jahr 2022</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https://peoplemanagingpeople.com/articles/tips-managing-remote-teams/</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0" w:before="0" w:line="215.9999942779541"/>
                              <w:ind w:left="3402.0001220703125" w:right="-54.000000953674316" w:firstLine="3392.0001220703125"/>
                              <w:jc w:val="righ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Light" w:cs="Montserrat Light" w:eastAsia="Montserrat Light" w:hAnsi="Montserrat Light"/>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190500</wp:posOffset>
                </wp:positionV>
                <wp:extent cx="7636510" cy="2453574"/>
                <wp:effectExtent b="0" l="0" r="0" t="0"/>
                <wp:wrapNone/>
                <wp:docPr id="2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636510" cy="2453574"/>
                        </a:xfrm>
                        <a:prstGeom prst="rect"/>
                        <a:ln/>
                      </pic:spPr>
                    </pic:pic>
                  </a:graphicData>
                </a:graphic>
              </wp:anchor>
            </w:drawing>
          </mc:Fallback>
        </mc:AlternateContent>
      </w:r>
    </w:p>
    <w:p w:rsidR="00000000" w:rsidDel="00000000" w:rsidP="00000000" w:rsidRDefault="00000000" w:rsidRPr="00000000" w14:paraId="00000023">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4">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5">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6">
      <w:pPr>
        <w:spacing w:after="0" w:line="216" w:lineRule="auto"/>
        <w:ind w:right="-62"/>
        <w:rPr/>
      </w:pPr>
      <w:r w:rsidDel="00000000" w:rsidR="00000000" w:rsidRPr="00000000">
        <w:rPr>
          <w:rtl w:val="0"/>
        </w:rPr>
      </w:r>
    </w:p>
    <w:p w:rsidR="00000000" w:rsidDel="00000000" w:rsidP="00000000" w:rsidRDefault="00000000" w:rsidRPr="00000000" w14:paraId="00000027">
      <w:pPr>
        <w:spacing w:after="0" w:line="216" w:lineRule="auto"/>
        <w:ind w:right="-62"/>
        <w:rPr/>
      </w:pPr>
      <w:r w:rsidDel="00000000" w:rsidR="00000000" w:rsidRPr="00000000">
        <w:rPr>
          <w:rtl w:val="0"/>
        </w:rPr>
      </w:r>
    </w:p>
    <w:p w:rsidR="00000000" w:rsidDel="00000000" w:rsidP="00000000" w:rsidRDefault="00000000" w:rsidRPr="00000000" w14:paraId="00000028">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9">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A">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857174</wp:posOffset>
            </wp:positionV>
            <wp:extent cx="1892293" cy="370634"/>
            <wp:effectExtent b="0" l="0" r="0" t="0"/>
            <wp:wrapNone/>
            <wp:docPr descr="https://eacea.ec.europa.eu/sites/eacea-site/files/logosbeneficaireserasmusright_withthesupportof.jpg" id="29"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2"/>
                    <a:srcRect b="0" l="0" r="0" t="0"/>
                    <a:stretch>
                      <a:fillRect/>
                    </a:stretch>
                  </pic:blipFill>
                  <pic:spPr>
                    <a:xfrm>
                      <a:off x="0" y="0"/>
                      <a:ext cx="1892293" cy="370634"/>
                    </a:xfrm>
                    <a:prstGeom prst="rect"/>
                    <a:ln/>
                  </pic:spPr>
                </pic:pic>
              </a:graphicData>
            </a:graphic>
          </wp:anchor>
        </w:drawing>
      </w:r>
    </w:p>
    <w:sectPr>
      <w:headerReference r:id="rId13" w:type="default"/>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character" w:styleId="Kommentarsreferens">
    <w:name w:val="annotation reference"/>
    <w:basedOn w:val="Standardstycketeckensnitt"/>
    <w:uiPriority w:val="99"/>
    <w:semiHidden w:val="1"/>
    <w:unhideWhenUsed w:val="1"/>
    <w:rsid w:val="008738E9"/>
    <w:rPr>
      <w:sz w:val="16"/>
      <w:szCs w:val="16"/>
    </w:rPr>
  </w:style>
  <w:style w:type="paragraph" w:styleId="Kommentarer">
    <w:name w:val="annotation text"/>
    <w:basedOn w:val="Normal"/>
    <w:link w:val="KommentarerChar"/>
    <w:uiPriority w:val="99"/>
    <w:semiHidden w:val="1"/>
    <w:unhideWhenUsed w:val="1"/>
    <w:rsid w:val="008738E9"/>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8738E9"/>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8738E9"/>
    <w:rPr>
      <w:b w:val="1"/>
      <w:bCs w:val="1"/>
    </w:rPr>
  </w:style>
  <w:style w:type="character" w:styleId="KommentarsmneChar" w:customStyle="1">
    <w:name w:val="Kommentarsämne Char"/>
    <w:basedOn w:val="KommentarerChar"/>
    <w:link w:val="Kommentarsmne"/>
    <w:uiPriority w:val="99"/>
    <w:semiHidden w:val="1"/>
    <w:rsid w:val="008738E9"/>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8738E9"/>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38E9"/>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C84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image" Target="media/image2.jp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O6bliNatkMLdsLqL28KOM5HOKA==">AMUW2mVmT839cOq+WMHmyo3ImV6WeLvx6aEJjxL2uuIJcFFd4nyWp2VeiWKhyaAt7/FdQaUJstjHh2p8F1HFpBgM+CPq+DR+mY1b4/kCq3eo9hLnE8uh0R4=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